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99" w:rsidRDefault="000C546D" w:rsidP="006548DA">
      <w:pPr>
        <w:pStyle w:val="Citadestacada"/>
        <w:spacing w:before="0" w:after="0"/>
        <w:ind w:left="0" w:right="27"/>
        <w:jc w:val="center"/>
        <w:rPr>
          <w:rFonts w:ascii="myriad_prosemicondensed" w:hAnsi="myriad_prosemicondensed"/>
          <w:sz w:val="38"/>
          <w:lang w:eastAsia="es-AR"/>
        </w:rPr>
      </w:pPr>
      <w:r>
        <w:rPr>
          <w:noProof/>
          <w:lang w:eastAsia="es-AR"/>
        </w:rPr>
        <w:drawing>
          <wp:inline distT="0" distB="0" distL="0" distR="0" wp14:anchorId="2D97D197" wp14:editId="345063B9">
            <wp:extent cx="1414131" cy="492573"/>
            <wp:effectExtent l="0" t="0" r="0" b="3175"/>
            <wp:docPr id="1" name="Imagen 1" descr="http://cfi.org.ar/wp-content/themes/institucion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i.org.ar/wp-content/themes/institucional/images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42" cy="4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 wp14:anchorId="0B0E9032" wp14:editId="48BE756D">
            <wp:extent cx="1052623" cy="542260"/>
            <wp:effectExtent l="0" t="0" r="0" b="0"/>
            <wp:docPr id="2" name="Imagen 2" descr="logo 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3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                                                                               </w:t>
      </w:r>
    </w:p>
    <w:p w:rsidR="00831599" w:rsidRPr="00831599" w:rsidRDefault="00831599" w:rsidP="006548DA">
      <w:pPr>
        <w:pStyle w:val="Citadestacada"/>
        <w:spacing w:before="0" w:after="0"/>
        <w:ind w:left="0" w:right="27"/>
        <w:rPr>
          <w:rFonts w:ascii="myriad_prosemicondensed" w:hAnsi="myriad_prosemicondensed"/>
          <w:sz w:val="38"/>
          <w:lang w:eastAsia="es-AR"/>
        </w:rPr>
      </w:pPr>
      <w:r w:rsidRPr="00831599">
        <w:rPr>
          <w:rFonts w:ascii="myriad_prosemicondensed" w:hAnsi="myriad_prosemicondensed"/>
          <w:color w:val="018DED"/>
          <w:sz w:val="38"/>
          <w:lang w:eastAsia="es-AR"/>
        </w:rPr>
        <w:t xml:space="preserve">Créditos para la Reactivación Productiva </w:t>
      </w:r>
      <w:r w:rsidRPr="00831599">
        <w:rPr>
          <w:noProof/>
          <w:color w:val="018DED"/>
          <w:lang w:eastAsia="es-AR"/>
        </w:rPr>
        <w:t xml:space="preserve">                         </w:t>
      </w:r>
    </w:p>
    <w:p w:rsidR="002C7182" w:rsidRPr="002C7182" w:rsidRDefault="008A038C" w:rsidP="006548DA">
      <w:pPr>
        <w:pStyle w:val="Prrafodelista"/>
        <w:shd w:val="clear" w:color="auto" w:fill="FFFFFF"/>
        <w:spacing w:after="450" w:line="360" w:lineRule="atLeast"/>
        <w:ind w:left="0"/>
        <w:jc w:val="both"/>
        <w:rPr>
          <w:rFonts w:ascii="myriad_prosemicondensed" w:eastAsia="Times New Roman" w:hAnsi="myriad_prosemicondensed" w:cs="Times New Roman"/>
          <w:color w:val="018DED"/>
          <w:lang w:eastAsia="es-AR"/>
        </w:rPr>
      </w:pPr>
      <w:r w:rsidRPr="00F65F8E">
        <w:rPr>
          <w:rFonts w:ascii="myriad_prosemicondensed" w:eastAsia="Times New Roman" w:hAnsi="myriad_prosemicondensed" w:cs="Times New Roman"/>
          <w:noProof/>
          <w:sz w:val="24"/>
          <w:szCs w:val="3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D2C2" wp14:editId="581C0071">
                <wp:simplePos x="0" y="0"/>
                <wp:positionH relativeFrom="column">
                  <wp:posOffset>-21590</wp:posOffset>
                </wp:positionH>
                <wp:positionV relativeFrom="paragraph">
                  <wp:posOffset>293917</wp:posOffset>
                </wp:positionV>
                <wp:extent cx="6815470" cy="0"/>
                <wp:effectExtent l="19050" t="38100" r="61595" b="11430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54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18DE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3.15pt" to="534.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" strokecolor="#018ded">
                <v:shadow on="t" color="black" opacity="26214f" origin="-.5,-.5" offset=".74836mm,.74836mm"/>
              </v:line>
            </w:pict>
          </mc:Fallback>
        </mc:AlternateContent>
      </w:r>
      <w:r w:rsidR="002C7182" w:rsidRPr="002C7182">
        <w:rPr>
          <w:rFonts w:ascii="myriad_prosemicondensed" w:eastAsia="Times New Roman" w:hAnsi="myriad_prosemicondensed" w:cs="Times New Roman"/>
          <w:color w:val="018DED"/>
          <w:lang w:eastAsia="es-AR"/>
        </w:rPr>
        <w:t>PROCEDIMIENTOS  GESTION ASISTENCIA FINANCIERA  C.F.I.</w:t>
      </w:r>
    </w:p>
    <w:p w:rsid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bookmarkStart w:id="0" w:name="_GoBack"/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1°)  Debe llenar el formulario de “Solicitud Preliminar de Crédito” 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y “Cuestionario”</w:t>
      </w:r>
      <w:r w:rsidR="000D0C8D"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y presentar ante la U.E.P. del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CFI </w:t>
      </w:r>
      <w:r w:rsidRPr="006548DA">
        <w:rPr>
          <w:rFonts w:ascii="myriad_prosemicondensed" w:eastAsia="Times New Roman" w:hAnsi="myriad_prosemicondensed" w:cs="Times New Roman"/>
          <w:color w:val="0070C0"/>
          <w:sz w:val="24"/>
          <w:lang w:eastAsia="es-AR"/>
        </w:rPr>
        <w:t xml:space="preserve">con asesoramiento del </w:t>
      </w:r>
      <w:r w:rsidR="000D0C8D" w:rsidRPr="006548DA">
        <w:rPr>
          <w:rFonts w:ascii="myriad_prosemicondensed" w:eastAsia="Times New Roman" w:hAnsi="myriad_prosemicondensed" w:cs="Times New Roman"/>
          <w:color w:val="0070C0"/>
          <w:sz w:val="24"/>
          <w:lang w:eastAsia="es-AR"/>
        </w:rPr>
        <w:t>personal</w:t>
      </w:r>
      <w:r w:rsidRPr="006548DA">
        <w:rPr>
          <w:rFonts w:ascii="myriad_prosemicondensed" w:eastAsia="Times New Roman" w:hAnsi="myriad_prosemicondensed" w:cs="Times New Roman"/>
          <w:color w:val="0070C0"/>
          <w:sz w:val="24"/>
          <w:lang w:eastAsia="es-AR"/>
        </w:rPr>
        <w:t xml:space="preserve"> del IFE</w:t>
      </w:r>
      <w:r w:rsidR="000D0C8D" w:rsidRPr="006548DA">
        <w:rPr>
          <w:rFonts w:ascii="myriad_prosemicondensed" w:eastAsia="Times New Roman" w:hAnsi="myriad_prosemicondensed" w:cs="Times New Roman"/>
          <w:color w:val="0070C0"/>
          <w:sz w:val="24"/>
          <w:lang w:eastAsia="es-AR"/>
        </w:rPr>
        <w:t xml:space="preserve"> SEM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.</w:t>
      </w:r>
    </w:p>
    <w:p w:rsidR="006548DA" w:rsidRDefault="006548DA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</w:p>
    <w:p w:rsidR="002C7182" w:rsidRP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2°) De encuadrarse en la línea y de ser aprobado por el  Ejecutivo Provincial, la Unidad envía este formulario al Banco Mandatario: Banco de Corrientes S.A., a fin de que a través de la sucursal </w:t>
      </w:r>
      <w:r w:rsidR="000D0C8D" w:rsidRPr="006548DA">
        <w:rPr>
          <w:rFonts w:ascii="myriad_prosemicondensed" w:eastAsia="Times New Roman" w:hAnsi="myriad_prosemicondensed" w:cs="Times New Roman"/>
          <w:sz w:val="24"/>
          <w:lang w:eastAsia="es-AR"/>
        </w:rPr>
        <w:t>más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cercana a su domicilio les solicite la documentación personal, legal, contable, etc. que estime necesario a fin de evaluar sus antecedentes y determinar si está en condiciones de operar con el sistema bancario. Determina si Ud. o la empresa e "sujeto de crédito".</w:t>
      </w:r>
    </w:p>
    <w:p w:rsid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u w:val="single"/>
          <w:lang w:eastAsia="es-AR"/>
        </w:rPr>
        <w:t>Nota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: en esta etapa, el tiempo depende que tan rápido se presente al banco la documentación solicitada.</w:t>
      </w:r>
    </w:p>
    <w:p w:rsidR="006548DA" w:rsidRDefault="006548DA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</w:p>
    <w:p w:rsidR="002C7182" w:rsidRP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3°) Recibido el Informe de “Sujeto de Crédito” del Banco en </w:t>
      </w:r>
      <w:r w:rsidR="000D0C8D" w:rsidRPr="006548DA">
        <w:rPr>
          <w:rFonts w:ascii="myriad_prosemicondensed" w:eastAsia="Times New Roman" w:hAnsi="myriad_prosemicondensed" w:cs="Times New Roman"/>
          <w:sz w:val="24"/>
          <w:lang w:eastAsia="es-AR"/>
        </w:rPr>
        <w:t>la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U.E.P., queda habilitado para presentar la "GUIA para PROYECTOS AGROPECUARIOS" (o la que correspondiera según la actividad: industrial, Minera, Turística, Apicultura, etc.). En esta guía, deberá completar la información técnica, económica y financiera que se le solicita respecto de su emprendimiento actual y de la evolución proyectada con la incorporación del crédito.</w:t>
      </w:r>
    </w:p>
    <w:p w:rsidR="002C7182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b/>
          <w:color w:val="0070C0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u w:val="single"/>
          <w:lang w:eastAsia="es-AR"/>
        </w:rPr>
        <w:t xml:space="preserve"> Nota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: en esta etapa, también el tiempo depende de </w:t>
      </w:r>
      <w:r w:rsidR="000D0C8D" w:rsidRPr="006548DA">
        <w:rPr>
          <w:rFonts w:ascii="myriad_prosemicondensed" w:eastAsia="Times New Roman" w:hAnsi="myriad_prosemicondensed" w:cs="Times New Roman"/>
          <w:sz w:val="24"/>
          <w:lang w:eastAsia="es-AR"/>
        </w:rPr>
        <w:t>cuánto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se tarda en completar la información solicitada. Puede contar con nuestro asesoramiento para cualquier consulta sobre la Guía.</w:t>
      </w:r>
      <w:r w:rsidR="000D0C8D" w:rsidRPr="006548DA">
        <w:rPr>
          <w:rFonts w:ascii="myriad_prosemicondensed" w:eastAsia="Times New Roman" w:hAnsi="myriad_prosemicondensed" w:cs="Times New Roman"/>
          <w:color w:val="0070C0"/>
          <w:sz w:val="24"/>
          <w:lang w:eastAsia="es-AR"/>
        </w:rPr>
        <w:t xml:space="preserve"> </w:t>
      </w:r>
      <w:r w:rsidR="000D0C8D" w:rsidRPr="006548DA">
        <w:rPr>
          <w:rFonts w:ascii="myriad_prosemicondensed" w:eastAsia="Times New Roman" w:hAnsi="myriad_prosemicondensed" w:cs="Times New Roman"/>
          <w:b/>
          <w:color w:val="0070C0"/>
          <w:sz w:val="24"/>
          <w:lang w:eastAsia="es-AR"/>
        </w:rPr>
        <w:t>Aquí se cuenta con el Asesoramiento por parte del personal del IFE SEM.</w:t>
      </w:r>
    </w:p>
    <w:p w:rsidR="006548DA" w:rsidRPr="006548DA" w:rsidRDefault="006548DA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b/>
          <w:sz w:val="24"/>
          <w:lang w:eastAsia="es-AR"/>
        </w:rPr>
      </w:pPr>
    </w:p>
    <w:p w:rsidR="002C7182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4°) Presentada la Guía completa en esta U.E.P., junto al formulario "Solicitud" y las “pr</w:t>
      </w:r>
      <w:r w:rsidR="000D0C8D" w:rsidRPr="006548DA">
        <w:rPr>
          <w:rFonts w:ascii="myriad_prosemicondensed" w:eastAsia="Times New Roman" w:hAnsi="myriad_prosemicondensed" w:cs="Times New Roman"/>
          <w:sz w:val="24"/>
          <w:lang w:eastAsia="es-AR"/>
        </w:rPr>
        <w:t>o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formas” correspondientes de las inversiones a  realizar con el crédito, se procede a realizar la Evaluación Técnica, Económica y Financiera del proyecto, a fin de verificar su "rentabilidad" o "sustentabilidad", asesorándole al respecto.</w:t>
      </w:r>
    </w:p>
    <w:p w:rsidR="006548DA" w:rsidRPr="006548DA" w:rsidRDefault="006548DA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</w:p>
    <w:p w:rsidR="006548DA" w:rsidRP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5°) Completada la evaluación, con un Informe Técnico,  se envía el expediente a la Sede Central del C.F.I. en Buenos Aires, para su aprobación final y resolución aprobatoria.</w:t>
      </w:r>
    </w:p>
    <w:p w:rsidR="002C7182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u w:val="single"/>
          <w:lang w:eastAsia="es-AR"/>
        </w:rPr>
        <w:t>Nota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: Esta etapa tarda aproximadamente entre 30 a 45 días.</w:t>
      </w:r>
    </w:p>
    <w:p w:rsidR="006548DA" w:rsidRPr="006548DA" w:rsidRDefault="006548DA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</w:p>
    <w:p w:rsidR="002C7182" w:rsidRP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6°) Aprobado el proyecto por medio de una Resolución, el banco lo  citará para Constituir la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s</w:t>
      </w:r>
      <w:r w:rsidR="000D0C8D"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garantías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:</w:t>
      </w:r>
    </w:p>
    <w:p w:rsidR="002C7182" w:rsidRPr="006548DA" w:rsidRDefault="002C7182" w:rsidP="006548DA">
      <w:pPr>
        <w:pStyle w:val="Prrafodelista"/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1.- DONACIONES: El CFI no acepta como garantía de los créditos que otorga, inmuebles cuya adquisición provenga de una donación o que en sus antecedentes dominiales se registre una donación.</w:t>
      </w:r>
    </w:p>
    <w:p w:rsidR="002C7182" w:rsidRPr="006548DA" w:rsidRDefault="002C7182" w:rsidP="006548DA">
      <w:pPr>
        <w:pStyle w:val="Prrafodelista"/>
        <w:shd w:val="clear" w:color="auto" w:fill="FFFFFF"/>
        <w:spacing w:after="45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2.- CONDOMINIO: En el caso que el inmueble ofrecido como garantía pertenezca a varios titulares dominiales, indefectiblemente deberán suscribir la escritura de hipoteca todos los condóminos, a fin de no hipotecar partes indivisas.</w:t>
      </w:r>
    </w:p>
    <w:p w:rsidR="002C7182" w:rsidRPr="006548DA" w:rsidRDefault="002C7182" w:rsidP="006548DA">
      <w:pPr>
        <w:pStyle w:val="Prrafodelista"/>
        <w:shd w:val="clear" w:color="auto" w:fill="FFFFFF"/>
        <w:spacing w:after="45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3.- USUFRUCTO Y OTROS: Si el inmueble ofrecido en garantía tuviere constituido un derecho real de usufructo a favor de una persona, dicho derecho debe estar extinto o cancelado registralmente. Asimismo, se requiere que los inmuebles ofrecidos en garantía se encuentren libres de gravámenes, interdicciones, anotaciones judiciales, servidumbres, bien de familia, embargos, deudas impositivas.</w:t>
      </w:r>
    </w:p>
    <w:p w:rsidR="002C7182" w:rsidRPr="006548DA" w:rsidRDefault="002C7182" w:rsidP="006548DA">
      <w:pPr>
        <w:pStyle w:val="Prrafodelista"/>
        <w:shd w:val="clear" w:color="auto" w:fill="FFFFFF"/>
        <w:spacing w:after="45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 4.- SEGUROS: El/los beneficiario/s deberán contar con seguro de vida e incapacidad por el monto y plazo de amortización del crédito otorgado. </w:t>
      </w:r>
    </w:p>
    <w:p w:rsidR="002C7182" w:rsidRDefault="002C7182" w:rsidP="006548DA">
      <w:pPr>
        <w:pStyle w:val="Prrafodelista"/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Asimismo, cuando se trate de créditos con garantía real, el beneficiario deberá contratar seguro contra todo riesgo, o el que corresponda sobre el bien gravado, por el monto y plazo de amortización del crédito. </w:t>
      </w:r>
    </w:p>
    <w:p w:rsidR="006548DA" w:rsidRPr="006548DA" w:rsidRDefault="006548DA" w:rsidP="006548DA">
      <w:pPr>
        <w:pStyle w:val="Prrafodelista"/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</w:p>
    <w:p w:rsidR="002C7182" w:rsidRP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 xml:space="preserve">7°) Luego del tiempo estimado para realizar las inversiones, esta U.E.P., realiza el "Seguimiento" a fin de verificar las mismas, constatando con las facturas  correspondientes.                               </w:t>
      </w:r>
    </w:p>
    <w:p w:rsidR="006548DA" w:rsidRDefault="006548DA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u w:val="single"/>
          <w:lang w:eastAsia="es-AR"/>
        </w:rPr>
      </w:pPr>
    </w:p>
    <w:p w:rsidR="002C7182" w:rsidRPr="006548DA" w:rsidRDefault="002C7182" w:rsidP="006548DA">
      <w:pPr>
        <w:shd w:val="clear" w:color="auto" w:fill="FFFFFF"/>
        <w:spacing w:after="0"/>
        <w:jc w:val="both"/>
        <w:rPr>
          <w:rFonts w:ascii="myriad_prosemicondensed" w:eastAsia="Times New Roman" w:hAnsi="myriad_prosemicondensed" w:cs="Times New Roman"/>
          <w:sz w:val="24"/>
          <w:lang w:eastAsia="es-AR"/>
        </w:rPr>
      </w:pPr>
      <w:r w:rsidRPr="006548DA">
        <w:rPr>
          <w:rFonts w:ascii="myriad_prosemicondensed" w:eastAsia="Times New Roman" w:hAnsi="myriad_prosemicondensed" w:cs="Times New Roman"/>
          <w:sz w:val="24"/>
          <w:u w:val="single"/>
          <w:lang w:eastAsia="es-AR"/>
        </w:rPr>
        <w:t>Nota</w:t>
      </w:r>
      <w:r w:rsidRPr="006548DA">
        <w:rPr>
          <w:rFonts w:ascii="myriad_prosemicondensed" w:eastAsia="Times New Roman" w:hAnsi="myriad_prosemicondensed" w:cs="Times New Roman"/>
          <w:sz w:val="24"/>
          <w:lang w:eastAsia="es-AR"/>
        </w:rPr>
        <w:t>: Se comunica a todos los interesados a obtener un crédito en el CFI, que este Organismo no tiene gestores ni intermediarios para la tramitación del Financiamiento, siendo es</w:t>
      </w:r>
      <w:r w:rsidR="000D0C8D" w:rsidRPr="006548DA">
        <w:rPr>
          <w:rFonts w:ascii="myriad_prosemicondensed" w:eastAsia="Times New Roman" w:hAnsi="myriad_prosemicondensed" w:cs="Times New Roman"/>
          <w:sz w:val="24"/>
          <w:lang w:eastAsia="es-AR"/>
        </w:rPr>
        <w:t>te proceso totalmente gratuito.</w:t>
      </w:r>
      <w:bookmarkEnd w:id="0"/>
    </w:p>
    <w:sectPr w:rsidR="002C7182" w:rsidRPr="006548DA" w:rsidSect="00851280">
      <w:footerReference w:type="default" r:id="rId11"/>
      <w:pgSz w:w="12240" w:h="20160" w:code="5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4E" w:rsidRDefault="000A7C4E" w:rsidP="000C546D">
      <w:pPr>
        <w:spacing w:after="0" w:line="240" w:lineRule="auto"/>
      </w:pPr>
      <w:r>
        <w:separator/>
      </w:r>
    </w:p>
  </w:endnote>
  <w:endnote w:type="continuationSeparator" w:id="0">
    <w:p w:rsidR="000A7C4E" w:rsidRDefault="000A7C4E" w:rsidP="000C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_prosemicondense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80" w:rsidRDefault="000A7C4E" w:rsidP="00851280">
    <w:pPr>
      <w:pStyle w:val="Piedepgina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Compañía"/>
        <w:id w:val="76117946"/>
        <w:placeholder>
          <w:docPart w:val="47BA57093CB643AC939B3E9DCF6C36C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51280">
          <w:rPr>
            <w:color w:val="808080" w:themeColor="background1" w:themeShade="80"/>
          </w:rPr>
          <w:t>INSTITUTO DE FOMENTO EMPRESARIAL</w:t>
        </w:r>
      </w:sdtContent>
    </w:sdt>
    <w:r w:rsidR="00851280">
      <w:rPr>
        <w:color w:val="808080" w:themeColor="background1" w:themeShade="80"/>
        <w:lang w:val="es-ES"/>
      </w:rPr>
      <w:t xml:space="preserve"> | </w:t>
    </w:r>
    <w:sdt>
      <w:sdtPr>
        <w:rPr>
          <w:color w:val="808080" w:themeColor="background1" w:themeShade="80"/>
        </w:rPr>
        <w:alias w:val="Dirección"/>
        <w:id w:val="76117950"/>
        <w:placeholder>
          <w:docPart w:val="D7764C6697264404AEE5A62C3143836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851280">
          <w:rPr>
            <w:color w:val="808080" w:themeColor="background1" w:themeShade="80"/>
          </w:rPr>
          <w:t>Jujuy 886, Corrientes – Te: 0379 4476044 – info@ife.gov.ar</w:t>
        </w:r>
      </w:sdtContent>
    </w:sdt>
  </w:p>
  <w:p w:rsidR="000C546D" w:rsidRDefault="000C54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4E" w:rsidRDefault="000A7C4E" w:rsidP="000C546D">
      <w:pPr>
        <w:spacing w:after="0" w:line="240" w:lineRule="auto"/>
      </w:pPr>
      <w:r>
        <w:separator/>
      </w:r>
    </w:p>
  </w:footnote>
  <w:footnote w:type="continuationSeparator" w:id="0">
    <w:p w:rsidR="000A7C4E" w:rsidRDefault="000A7C4E" w:rsidP="000C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3356"/>
    <w:multiLevelType w:val="hybridMultilevel"/>
    <w:tmpl w:val="3A30A13E"/>
    <w:lvl w:ilvl="0" w:tplc="82486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D91"/>
    <w:multiLevelType w:val="multilevel"/>
    <w:tmpl w:val="668C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B284E"/>
    <w:multiLevelType w:val="multilevel"/>
    <w:tmpl w:val="D6C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95577"/>
    <w:multiLevelType w:val="multilevel"/>
    <w:tmpl w:val="ED5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958F2"/>
    <w:multiLevelType w:val="multilevel"/>
    <w:tmpl w:val="F96A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072D3"/>
    <w:multiLevelType w:val="multilevel"/>
    <w:tmpl w:val="A83C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70643"/>
    <w:multiLevelType w:val="multilevel"/>
    <w:tmpl w:val="B92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99"/>
    <w:rsid w:val="000A7C4E"/>
    <w:rsid w:val="000C546D"/>
    <w:rsid w:val="000D0C8D"/>
    <w:rsid w:val="002C7182"/>
    <w:rsid w:val="003E51E3"/>
    <w:rsid w:val="006548DA"/>
    <w:rsid w:val="00780879"/>
    <w:rsid w:val="00831599"/>
    <w:rsid w:val="00851280"/>
    <w:rsid w:val="008A038C"/>
    <w:rsid w:val="00C75849"/>
    <w:rsid w:val="00F542AF"/>
    <w:rsid w:val="00F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31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1599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83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31599"/>
    <w:rPr>
      <w:b/>
      <w:bCs/>
    </w:rPr>
  </w:style>
  <w:style w:type="character" w:styleId="nfasis">
    <w:name w:val="Emphasis"/>
    <w:basedOn w:val="Fuentedeprrafopredeter"/>
    <w:uiPriority w:val="20"/>
    <w:qFormat/>
    <w:rsid w:val="0083159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3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5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599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46D"/>
  </w:style>
  <w:style w:type="paragraph" w:styleId="Piedepgina">
    <w:name w:val="footer"/>
    <w:basedOn w:val="Normal"/>
    <w:link w:val="PiedepginaCar"/>
    <w:uiPriority w:val="99"/>
    <w:unhideWhenUsed/>
    <w:rsid w:val="000C5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46D"/>
  </w:style>
  <w:style w:type="paragraph" w:styleId="Sinespaciado">
    <w:name w:val="No Spacing"/>
    <w:link w:val="SinespaciadoCar"/>
    <w:uiPriority w:val="1"/>
    <w:qFormat/>
    <w:rsid w:val="000C546D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546D"/>
    <w:rPr>
      <w:rFonts w:eastAsiaTheme="minorEastAsia"/>
      <w:lang w:eastAsia="es-AR"/>
    </w:rPr>
  </w:style>
  <w:style w:type="paragraph" w:customStyle="1" w:styleId="D345FF3D873148C5AE3FBF3267827368">
    <w:name w:val="D345FF3D873148C5AE3FBF3267827368"/>
    <w:rsid w:val="000C546D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2C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31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1599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83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31599"/>
    <w:rPr>
      <w:b/>
      <w:bCs/>
    </w:rPr>
  </w:style>
  <w:style w:type="character" w:styleId="nfasis">
    <w:name w:val="Emphasis"/>
    <w:basedOn w:val="Fuentedeprrafopredeter"/>
    <w:uiPriority w:val="20"/>
    <w:qFormat/>
    <w:rsid w:val="0083159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3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5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599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46D"/>
  </w:style>
  <w:style w:type="paragraph" w:styleId="Piedepgina">
    <w:name w:val="footer"/>
    <w:basedOn w:val="Normal"/>
    <w:link w:val="PiedepginaCar"/>
    <w:uiPriority w:val="99"/>
    <w:unhideWhenUsed/>
    <w:rsid w:val="000C54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46D"/>
  </w:style>
  <w:style w:type="paragraph" w:styleId="Sinespaciado">
    <w:name w:val="No Spacing"/>
    <w:link w:val="SinespaciadoCar"/>
    <w:uiPriority w:val="1"/>
    <w:qFormat/>
    <w:rsid w:val="000C546D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546D"/>
    <w:rPr>
      <w:rFonts w:eastAsiaTheme="minorEastAsia"/>
      <w:lang w:eastAsia="es-AR"/>
    </w:rPr>
  </w:style>
  <w:style w:type="paragraph" w:customStyle="1" w:styleId="D345FF3D873148C5AE3FBF3267827368">
    <w:name w:val="D345FF3D873148C5AE3FBF3267827368"/>
    <w:rsid w:val="000C546D"/>
    <w:rPr>
      <w:rFonts w:eastAsiaTheme="minorEastAsia"/>
      <w:lang w:eastAsia="es-AR"/>
    </w:rPr>
  </w:style>
  <w:style w:type="paragraph" w:styleId="Prrafodelista">
    <w:name w:val="List Paragraph"/>
    <w:basedOn w:val="Normal"/>
    <w:uiPriority w:val="34"/>
    <w:qFormat/>
    <w:rsid w:val="002C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BA57093CB643AC939B3E9DCF6C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325A-A8C0-42DE-8F93-4FC79DC41FA0}"/>
      </w:docPartPr>
      <w:docPartBody>
        <w:p w:rsidR="00EA65AE" w:rsidRDefault="00BA4A21" w:rsidP="00BA4A21">
          <w:pPr>
            <w:pStyle w:val="47BA57093CB643AC939B3E9DCF6C36C7"/>
          </w:pPr>
          <w:r>
            <w:rPr>
              <w:color w:val="7F7F7F" w:themeColor="background1" w:themeShade="7F"/>
              <w:lang w:val="es-ES"/>
            </w:rPr>
            <w:t>[Escriba el nombre de la compañía]</w:t>
          </w:r>
        </w:p>
      </w:docPartBody>
    </w:docPart>
    <w:docPart>
      <w:docPartPr>
        <w:name w:val="D7764C6697264404AEE5A62C3143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426F-5147-41D5-A1AD-C59B0D3C3AEB}"/>
      </w:docPartPr>
      <w:docPartBody>
        <w:p w:rsidR="00EA65AE" w:rsidRDefault="00BA4A21" w:rsidP="00BA4A21">
          <w:pPr>
            <w:pStyle w:val="D7764C6697264404AEE5A62C3143836A"/>
          </w:pPr>
          <w:r>
            <w:rPr>
              <w:color w:val="7F7F7F" w:themeColor="background1" w:themeShade="7F"/>
              <w:lang w:val="es-ES"/>
            </w:rPr>
            <w:t>[Escriba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_prosemicondensed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21"/>
    <w:rsid w:val="000F6789"/>
    <w:rsid w:val="00BA3665"/>
    <w:rsid w:val="00BA4A21"/>
    <w:rsid w:val="00E20264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AE170F50C84438938E32291407CAC3">
    <w:name w:val="A8AE170F50C84438938E32291407CAC3"/>
    <w:rsid w:val="00BA4A21"/>
  </w:style>
  <w:style w:type="paragraph" w:customStyle="1" w:styleId="12F6EC7671064DADAA4F0EEC0D4A3EE8">
    <w:name w:val="12F6EC7671064DADAA4F0EEC0D4A3EE8"/>
    <w:rsid w:val="00BA4A21"/>
  </w:style>
  <w:style w:type="paragraph" w:customStyle="1" w:styleId="493BEA8DE1654525877067800E12E19B">
    <w:name w:val="493BEA8DE1654525877067800E12E19B"/>
    <w:rsid w:val="00BA4A21"/>
  </w:style>
  <w:style w:type="paragraph" w:customStyle="1" w:styleId="CA0929A8CA1240269A2D914407D9FFAB">
    <w:name w:val="CA0929A8CA1240269A2D914407D9FFAB"/>
    <w:rsid w:val="00BA4A21"/>
  </w:style>
  <w:style w:type="paragraph" w:customStyle="1" w:styleId="47BA57093CB643AC939B3E9DCF6C36C7">
    <w:name w:val="47BA57093CB643AC939B3E9DCF6C36C7"/>
    <w:rsid w:val="00BA4A21"/>
  </w:style>
  <w:style w:type="paragraph" w:customStyle="1" w:styleId="D7764C6697264404AEE5A62C3143836A">
    <w:name w:val="D7764C6697264404AEE5A62C3143836A"/>
    <w:rsid w:val="00BA4A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8AE170F50C84438938E32291407CAC3">
    <w:name w:val="A8AE170F50C84438938E32291407CAC3"/>
    <w:rsid w:val="00BA4A21"/>
  </w:style>
  <w:style w:type="paragraph" w:customStyle="1" w:styleId="12F6EC7671064DADAA4F0EEC0D4A3EE8">
    <w:name w:val="12F6EC7671064DADAA4F0EEC0D4A3EE8"/>
    <w:rsid w:val="00BA4A21"/>
  </w:style>
  <w:style w:type="paragraph" w:customStyle="1" w:styleId="493BEA8DE1654525877067800E12E19B">
    <w:name w:val="493BEA8DE1654525877067800E12E19B"/>
    <w:rsid w:val="00BA4A21"/>
  </w:style>
  <w:style w:type="paragraph" w:customStyle="1" w:styleId="CA0929A8CA1240269A2D914407D9FFAB">
    <w:name w:val="CA0929A8CA1240269A2D914407D9FFAB"/>
    <w:rsid w:val="00BA4A21"/>
  </w:style>
  <w:style w:type="paragraph" w:customStyle="1" w:styleId="47BA57093CB643AC939B3E9DCF6C36C7">
    <w:name w:val="47BA57093CB643AC939B3E9DCF6C36C7"/>
    <w:rsid w:val="00BA4A21"/>
  </w:style>
  <w:style w:type="paragraph" w:customStyle="1" w:styleId="D7764C6697264404AEE5A62C3143836A">
    <w:name w:val="D7764C6697264404AEE5A62C3143836A"/>
    <w:rsid w:val="00BA4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Jujuy 886, Corrientes – Te: 0379 4476044 – info@ife.gov.ar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FOMENTO EMPRESARIAL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FOMENTO EMPRESARIAL – Jujuy 886, Corrientes – Te: 0379 4476044 – info@ife.gov.ar</dc:creator>
  <cp:lastModifiedBy>Usuario de Windows</cp:lastModifiedBy>
  <cp:revision>2</cp:revision>
  <cp:lastPrinted>2015-02-04T13:42:00Z</cp:lastPrinted>
  <dcterms:created xsi:type="dcterms:W3CDTF">2015-02-09T12:17:00Z</dcterms:created>
  <dcterms:modified xsi:type="dcterms:W3CDTF">2015-02-09T12:17:00Z</dcterms:modified>
</cp:coreProperties>
</file>